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809" w:rsidRPr="005D6B8A" w:rsidRDefault="009E0809" w:rsidP="00F5153C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r w:rsidRPr="005D6B8A">
        <w:rPr>
          <w:b/>
          <w:sz w:val="28"/>
          <w:szCs w:val="28"/>
        </w:rPr>
        <w:t>Ministru kabineta rīkojuma projekta</w:t>
      </w:r>
    </w:p>
    <w:p w:rsidR="009E0809" w:rsidRDefault="009E0809" w:rsidP="008F24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0E5">
        <w:rPr>
          <w:b/>
          <w:sz w:val="28"/>
          <w:szCs w:val="28"/>
        </w:rPr>
        <w:t>„</w:t>
      </w:r>
      <w:r w:rsidR="00613210" w:rsidRPr="00613210">
        <w:rPr>
          <w:b/>
          <w:sz w:val="28"/>
          <w:szCs w:val="28"/>
        </w:rPr>
        <w:t>Par Ministru kabineta Diploma piešķiršanu par sasniegumiem starptautiskaj</w:t>
      </w:r>
      <w:r w:rsidR="00C26B2D">
        <w:rPr>
          <w:b/>
          <w:sz w:val="28"/>
          <w:szCs w:val="28"/>
        </w:rPr>
        <w:t xml:space="preserve">ā </w:t>
      </w:r>
      <w:r w:rsidR="00613210" w:rsidRPr="00613210">
        <w:rPr>
          <w:b/>
          <w:sz w:val="28"/>
          <w:szCs w:val="28"/>
        </w:rPr>
        <w:t>jauno profesionāļu meistarības konkurs</w:t>
      </w:r>
      <w:r w:rsidR="00E00B95">
        <w:rPr>
          <w:b/>
          <w:sz w:val="28"/>
          <w:szCs w:val="28"/>
        </w:rPr>
        <w:t xml:space="preserve">ā </w:t>
      </w:r>
      <w:proofErr w:type="spellStart"/>
      <w:r w:rsidR="00941FBA">
        <w:rPr>
          <w:b/>
          <w:i/>
          <w:sz w:val="28"/>
          <w:szCs w:val="28"/>
        </w:rPr>
        <w:t>Euro</w:t>
      </w:r>
      <w:r w:rsidR="00F5381A">
        <w:rPr>
          <w:b/>
          <w:i/>
          <w:sz w:val="28"/>
          <w:szCs w:val="28"/>
        </w:rPr>
        <w:t>Skills</w:t>
      </w:r>
      <w:proofErr w:type="spellEnd"/>
      <w:r w:rsidR="00F5381A">
        <w:rPr>
          <w:b/>
          <w:i/>
          <w:sz w:val="28"/>
          <w:szCs w:val="28"/>
        </w:rPr>
        <w:t xml:space="preserve"> 201</w:t>
      </w:r>
      <w:r w:rsidR="00941FBA">
        <w:rPr>
          <w:b/>
          <w:i/>
          <w:sz w:val="28"/>
          <w:szCs w:val="28"/>
        </w:rPr>
        <w:t>8</w:t>
      </w:r>
      <w:r w:rsidR="009000EA">
        <w:rPr>
          <w:b/>
          <w:sz w:val="28"/>
          <w:szCs w:val="28"/>
        </w:rPr>
        <w:t>”</w:t>
      </w:r>
      <w:r w:rsidRPr="005D6B8A">
        <w:rPr>
          <w:b/>
          <w:sz w:val="28"/>
          <w:szCs w:val="28"/>
        </w:rPr>
        <w:t xml:space="preserve"> </w:t>
      </w:r>
      <w:r w:rsidRPr="00D82AE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D82AE2">
          <w:rPr>
            <w:b/>
            <w:sz w:val="28"/>
            <w:szCs w:val="28"/>
          </w:rPr>
          <w:t>ziņojums</w:t>
        </w:r>
      </w:smartTag>
      <w:r w:rsidRPr="00D82AE2">
        <w:rPr>
          <w:b/>
          <w:sz w:val="28"/>
          <w:szCs w:val="28"/>
        </w:rPr>
        <w:t xml:space="preserve"> (anotācija)</w:t>
      </w:r>
    </w:p>
    <w:p w:rsidR="00E95E3A" w:rsidRPr="008F2415" w:rsidRDefault="00E95E3A" w:rsidP="008F24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93"/>
        <w:gridCol w:w="5670"/>
      </w:tblGrid>
      <w:tr w:rsidR="009E0809" w:rsidRPr="00812051" w:rsidTr="00B8488C">
        <w:tc>
          <w:tcPr>
            <w:tcW w:w="9361" w:type="dxa"/>
            <w:gridSpan w:val="3"/>
            <w:vAlign w:val="center"/>
          </w:tcPr>
          <w:bookmarkEnd w:id="0"/>
          <w:bookmarkEnd w:id="1"/>
          <w:bookmarkEnd w:id="2"/>
          <w:p w:rsidR="009E0809" w:rsidRPr="00812051" w:rsidRDefault="009E0809" w:rsidP="00313E79">
            <w:pPr>
              <w:pStyle w:val="naisnod"/>
              <w:spacing w:before="0" w:after="0"/>
            </w:pPr>
            <w:r w:rsidRPr="00812051">
              <w:t>I. Tiesību akta projekta izstrādes nepieciešamība</w:t>
            </w:r>
          </w:p>
        </w:tc>
      </w:tr>
      <w:tr w:rsidR="009E0809" w:rsidRPr="00812051" w:rsidTr="00B8488C">
        <w:trPr>
          <w:trHeight w:val="63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1.</w:t>
            </w:r>
          </w:p>
        </w:tc>
        <w:tc>
          <w:tcPr>
            <w:tcW w:w="2693" w:type="dxa"/>
          </w:tcPr>
          <w:p w:rsidR="009E0809" w:rsidRPr="00812051" w:rsidRDefault="008E3EBC" w:rsidP="00313E79">
            <w:pPr>
              <w:pStyle w:val="naiskr"/>
              <w:spacing w:before="0" w:after="0"/>
              <w:ind w:hanging="10"/>
            </w:pPr>
            <w:r>
              <w:t>Kopsavilkums</w:t>
            </w:r>
          </w:p>
        </w:tc>
        <w:tc>
          <w:tcPr>
            <w:tcW w:w="5670" w:type="dxa"/>
          </w:tcPr>
          <w:p w:rsidR="000E7B76" w:rsidRDefault="008E3EBC" w:rsidP="00A4476A">
            <w:pPr>
              <w:autoSpaceDE w:val="0"/>
              <w:autoSpaceDN w:val="0"/>
              <w:adjustRightInd w:val="0"/>
              <w:jc w:val="both"/>
            </w:pPr>
            <w:r>
              <w:t>N</w:t>
            </w:r>
            <w:r w:rsidR="00C701C4">
              <w:t>av attiecināms.</w:t>
            </w:r>
          </w:p>
          <w:p w:rsidR="00E95E3A" w:rsidRPr="00812051" w:rsidRDefault="00E95E3A" w:rsidP="00AD2912">
            <w:pPr>
              <w:ind w:right="127"/>
              <w:jc w:val="both"/>
            </w:pPr>
          </w:p>
        </w:tc>
      </w:tr>
      <w:tr w:rsidR="008E3EBC" w:rsidRPr="00812051" w:rsidTr="00B8488C">
        <w:trPr>
          <w:trHeight w:val="630"/>
        </w:trPr>
        <w:tc>
          <w:tcPr>
            <w:tcW w:w="998" w:type="dxa"/>
          </w:tcPr>
          <w:p w:rsidR="008E3EBC" w:rsidRPr="00812051" w:rsidRDefault="008E3EBC" w:rsidP="008E3EBC">
            <w:pPr>
              <w:pStyle w:val="naiskr"/>
              <w:spacing w:before="0" w:after="0"/>
            </w:pPr>
            <w:r>
              <w:t>2.</w:t>
            </w:r>
          </w:p>
        </w:tc>
        <w:tc>
          <w:tcPr>
            <w:tcW w:w="2693" w:type="dxa"/>
          </w:tcPr>
          <w:p w:rsidR="008E3EBC" w:rsidRPr="00812051" w:rsidRDefault="008E3EBC" w:rsidP="008E3EBC">
            <w:pPr>
              <w:pStyle w:val="naiskr"/>
              <w:spacing w:before="0" w:after="0"/>
              <w:ind w:hanging="10"/>
            </w:pPr>
            <w:r w:rsidRPr="0083216A">
              <w:t>Pamatojums</w:t>
            </w:r>
          </w:p>
        </w:tc>
        <w:tc>
          <w:tcPr>
            <w:tcW w:w="5670" w:type="dxa"/>
          </w:tcPr>
          <w:p w:rsidR="008E3EBC" w:rsidRDefault="008E3EBC" w:rsidP="008E3EBC">
            <w:pPr>
              <w:autoSpaceDE w:val="0"/>
              <w:autoSpaceDN w:val="0"/>
              <w:adjustRightInd w:val="0"/>
              <w:jc w:val="both"/>
            </w:pPr>
            <w:r w:rsidRPr="00812051">
              <w:t xml:space="preserve">Ministru kabineta rīkojuma projekts </w:t>
            </w:r>
            <w:r w:rsidRPr="001B3F44">
              <w:t>„Par Ministru kabineta Diploma piešķiršanu par sasniegumiem starptautiskaj</w:t>
            </w:r>
            <w:r>
              <w:t xml:space="preserve">ā </w:t>
            </w:r>
            <w:r w:rsidRPr="001B3F44">
              <w:t>jauno profesionāļu</w:t>
            </w:r>
            <w:r>
              <w:t xml:space="preserve"> meistarības konkursā </w:t>
            </w:r>
            <w:proofErr w:type="spellStart"/>
            <w:r>
              <w:rPr>
                <w:i/>
              </w:rPr>
              <w:t>EuroSkills</w:t>
            </w:r>
            <w:proofErr w:type="spellEnd"/>
            <w:r>
              <w:rPr>
                <w:i/>
              </w:rPr>
              <w:t xml:space="preserve"> 2018</w:t>
            </w:r>
            <w:r>
              <w:t>”</w:t>
            </w:r>
            <w:r w:rsidRPr="001B3F44">
              <w:t xml:space="preserve"> (turpmāk – rīkojuma proj</w:t>
            </w:r>
            <w:r w:rsidRPr="00812051">
              <w:t>ekts) ir sagatavots saskaņā ar Ministru kabineta 2010.</w:t>
            </w:r>
            <w:r>
              <w:t> </w:t>
            </w:r>
            <w:r w:rsidRPr="00812051">
              <w:t>gada 5.</w:t>
            </w:r>
            <w:r>
              <w:t> </w:t>
            </w:r>
            <w:r w:rsidRPr="00812051">
              <w:t>oktobra noteikumu Nr.</w:t>
            </w:r>
            <w:r>
              <w:t> </w:t>
            </w:r>
            <w:r w:rsidRPr="00812051">
              <w:t>928 "Kārtība, kādā dibināmi valsts institūci</w:t>
            </w:r>
            <w:r>
              <w:t xml:space="preserve">ju un pašvaldību </w:t>
            </w:r>
            <w:r w:rsidRPr="00973441">
              <w:t xml:space="preserve">apbalvojumi" </w:t>
            </w:r>
            <w:r>
              <w:t xml:space="preserve">(turpmāk – noteikumi) </w:t>
            </w:r>
            <w:r w:rsidRPr="000C3FC5">
              <w:t>37.</w:t>
            </w:r>
            <w:r>
              <w:t>3. apakšpunktu</w:t>
            </w:r>
            <w:r w:rsidRPr="000C3FC5">
              <w:t>, 39.</w:t>
            </w:r>
            <w:r>
              <w:t xml:space="preserve"> un 46. punktu.</w:t>
            </w:r>
          </w:p>
          <w:p w:rsidR="008E3EBC" w:rsidRPr="00812051" w:rsidRDefault="008E3EBC" w:rsidP="008E3EBC">
            <w:pPr>
              <w:ind w:right="127"/>
              <w:jc w:val="both"/>
            </w:pPr>
          </w:p>
        </w:tc>
      </w:tr>
      <w:tr w:rsidR="009E0809" w:rsidRPr="00812051" w:rsidTr="00B8488C">
        <w:trPr>
          <w:trHeight w:val="1128"/>
        </w:trPr>
        <w:tc>
          <w:tcPr>
            <w:tcW w:w="998" w:type="dxa"/>
          </w:tcPr>
          <w:p w:rsidR="009E0809" w:rsidRPr="00812051" w:rsidRDefault="008E3EBC" w:rsidP="00313E79">
            <w:pPr>
              <w:pStyle w:val="naiskr"/>
              <w:spacing w:before="0" w:after="0"/>
            </w:pPr>
            <w:r>
              <w:t>3</w:t>
            </w:r>
            <w:r w:rsidR="009E0809" w:rsidRPr="00812051">
              <w:t>.</w:t>
            </w:r>
          </w:p>
        </w:tc>
        <w:tc>
          <w:tcPr>
            <w:tcW w:w="2693" w:type="dxa"/>
          </w:tcPr>
          <w:p w:rsidR="00537A08" w:rsidRPr="0083216A" w:rsidRDefault="00537A08" w:rsidP="00313E79">
            <w:pPr>
              <w:pStyle w:val="naiskr"/>
              <w:tabs>
                <w:tab w:val="left" w:pos="170"/>
              </w:tabs>
              <w:spacing w:before="0" w:after="0"/>
            </w:pPr>
            <w:r w:rsidRPr="0083216A">
              <w:t>Pašreizējā situācija un problēmas, kuru risināšanai tiesību akta projekts izstrādāts, tiesiskā regulējuma mērķis un būtība</w:t>
            </w:r>
          </w:p>
          <w:p w:rsidR="009E0809" w:rsidRPr="00812051" w:rsidRDefault="009E0809" w:rsidP="00537A08">
            <w:pPr>
              <w:pStyle w:val="naiskr"/>
              <w:tabs>
                <w:tab w:val="left" w:pos="170"/>
              </w:tabs>
              <w:spacing w:before="0" w:after="0"/>
            </w:pPr>
          </w:p>
        </w:tc>
        <w:tc>
          <w:tcPr>
            <w:tcW w:w="5670" w:type="dxa"/>
          </w:tcPr>
          <w:p w:rsidR="00450855" w:rsidRDefault="00941FBA" w:rsidP="0086432D">
            <w:pPr>
              <w:ind w:right="127"/>
              <w:jc w:val="both"/>
            </w:pPr>
            <w:r>
              <w:t>Budapeštā</w:t>
            </w:r>
            <w:r w:rsidR="00FB6196" w:rsidRPr="00450855">
              <w:t xml:space="preserve">, </w:t>
            </w:r>
            <w:r>
              <w:t>Ungārijā</w:t>
            </w:r>
            <w:r w:rsidR="00CB7706">
              <w:t>,</w:t>
            </w:r>
            <w:r w:rsidR="00FB6196" w:rsidRPr="00450855">
              <w:t xml:space="preserve"> 201</w:t>
            </w:r>
            <w:r>
              <w:t>8</w:t>
            </w:r>
            <w:r w:rsidR="00FB6196" w:rsidRPr="00450855">
              <w:t>.</w:t>
            </w:r>
            <w:r w:rsidR="00D26F4D">
              <w:t> </w:t>
            </w:r>
            <w:r w:rsidR="00FB6196" w:rsidRPr="00450855">
              <w:t xml:space="preserve">gada </w:t>
            </w:r>
            <w:r>
              <w:t>septem</w:t>
            </w:r>
            <w:r w:rsidR="00FB6196" w:rsidRPr="00450855">
              <w:t>brī</w:t>
            </w:r>
            <w:r w:rsidR="00FB6196">
              <w:t xml:space="preserve"> notika starptautiskais jauno profesionāļu meistarības konkurss </w:t>
            </w:r>
            <w:proofErr w:type="spellStart"/>
            <w:r>
              <w:rPr>
                <w:i/>
              </w:rPr>
              <w:t>Euro</w:t>
            </w:r>
            <w:r w:rsidR="00FB6196" w:rsidRPr="00A4476A">
              <w:rPr>
                <w:i/>
              </w:rPr>
              <w:t>Skills</w:t>
            </w:r>
            <w:proofErr w:type="spellEnd"/>
            <w:r w:rsidR="00FB6196" w:rsidRPr="00A4476A">
              <w:rPr>
                <w:i/>
              </w:rPr>
              <w:t xml:space="preserve"> 201</w:t>
            </w:r>
            <w:r>
              <w:rPr>
                <w:i/>
              </w:rPr>
              <w:t>8</w:t>
            </w:r>
            <w:r w:rsidR="00FB6196" w:rsidRPr="00450855">
              <w:t xml:space="preserve">. Tajā piedalījās </w:t>
            </w:r>
            <w:r w:rsidR="000B64E1">
              <w:t>436</w:t>
            </w:r>
            <w:r w:rsidR="00FB6196" w:rsidRPr="00450855">
              <w:t xml:space="preserve"> konkursant</w:t>
            </w:r>
            <w:r w:rsidR="0083216A">
              <w:t>i</w:t>
            </w:r>
            <w:r w:rsidR="00FB6196" w:rsidRPr="00450855">
              <w:t xml:space="preserve"> no </w:t>
            </w:r>
            <w:r>
              <w:t>2</w:t>
            </w:r>
            <w:r w:rsidR="00FB6196">
              <w:t xml:space="preserve">8 </w:t>
            </w:r>
            <w:r w:rsidR="0083216A">
              <w:t>Eiropas</w:t>
            </w:r>
            <w:r w:rsidR="007017E5">
              <w:t xml:space="preserve"> </w:t>
            </w:r>
            <w:r w:rsidR="00FB6196">
              <w:t xml:space="preserve">valstīm </w:t>
            </w:r>
            <w:r w:rsidR="0083216A">
              <w:t>35</w:t>
            </w:r>
            <w:r w:rsidR="007017E5">
              <w:t xml:space="preserve"> prasmju konkurs</w:t>
            </w:r>
            <w:r w:rsidR="00027081">
              <w:t>os</w:t>
            </w:r>
            <w:r w:rsidR="000B64E1">
              <w:t>. Latvijas komanda (12</w:t>
            </w:r>
            <w:r w:rsidR="00097EF9">
              <w:t> </w:t>
            </w:r>
            <w:r w:rsidR="00FB6196" w:rsidRPr="00450855">
              <w:t xml:space="preserve">konkursanti) piedalījās </w:t>
            </w:r>
            <w:r w:rsidR="000B64E1">
              <w:t>10</w:t>
            </w:r>
            <w:r w:rsidR="00097EF9">
              <w:t> </w:t>
            </w:r>
            <w:r w:rsidR="00FB6196" w:rsidRPr="00450855">
              <w:t>pr</w:t>
            </w:r>
            <w:r w:rsidR="007017E5">
              <w:t>asmju konkursos</w:t>
            </w:r>
            <w:r w:rsidR="00FB6196">
              <w:t xml:space="preserve">, iegūstot </w:t>
            </w:r>
            <w:r w:rsidR="000B64E1">
              <w:t>zelta</w:t>
            </w:r>
            <w:r w:rsidR="0083216A">
              <w:t>,</w:t>
            </w:r>
            <w:r w:rsidR="000A1052">
              <w:t xml:space="preserve"> </w:t>
            </w:r>
            <w:r w:rsidR="0083216A">
              <w:t xml:space="preserve">sudraba un izcilības </w:t>
            </w:r>
            <w:r w:rsidR="000A1052">
              <w:t>medaļas</w:t>
            </w:r>
            <w:r w:rsidR="0083216A">
              <w:t>.</w:t>
            </w:r>
            <w:r w:rsidR="000A1052">
              <w:t xml:space="preserve"> </w:t>
            </w:r>
            <w:r w:rsidR="00B81EC1">
              <w:t>R</w:t>
            </w:r>
            <w:r w:rsidR="00CF68FC" w:rsidRPr="00812051">
              <w:t>īko</w:t>
            </w:r>
            <w:r w:rsidR="00613210">
              <w:t xml:space="preserve">juma projektā ir noteikts, kuri </w:t>
            </w:r>
            <w:r w:rsidR="00A85DD1">
              <w:t>Eiropas</w:t>
            </w:r>
            <w:r w:rsidR="00613210" w:rsidRPr="001B3F44">
              <w:t xml:space="preserve"> jauno pro</w:t>
            </w:r>
            <w:r w:rsidR="00FB6196">
              <w:t xml:space="preserve">fesionāļu meistarības konkursa </w:t>
            </w:r>
            <w:proofErr w:type="spellStart"/>
            <w:r w:rsidR="000A1052">
              <w:rPr>
                <w:i/>
              </w:rPr>
              <w:t>Euro</w:t>
            </w:r>
            <w:r w:rsidR="005E2C35">
              <w:rPr>
                <w:i/>
              </w:rPr>
              <w:t>Skills</w:t>
            </w:r>
            <w:proofErr w:type="spellEnd"/>
            <w:r w:rsidR="005E2C35">
              <w:rPr>
                <w:i/>
              </w:rPr>
              <w:t xml:space="preserve"> 201</w:t>
            </w:r>
            <w:r w:rsidR="000A1052">
              <w:rPr>
                <w:i/>
              </w:rPr>
              <w:t>8</w:t>
            </w:r>
            <w:r w:rsidR="005E2C35">
              <w:t xml:space="preserve"> </w:t>
            </w:r>
            <w:r w:rsidR="007017E5">
              <w:t>konkursanti</w:t>
            </w:r>
            <w:r w:rsidR="00CF68FC" w:rsidRPr="001B3F44">
              <w:t xml:space="preserve"> un viņu </w:t>
            </w:r>
            <w:r w:rsidR="00274DE8" w:rsidRPr="001B3F44">
              <w:t>profesionālo prasmju pilnveidotāji</w:t>
            </w:r>
            <w:r w:rsidR="00450855">
              <w:t xml:space="preserve">, atbilstoši noteikumu </w:t>
            </w:r>
            <w:r w:rsidR="00450855" w:rsidRPr="00832A6C">
              <w:t>3.2.</w:t>
            </w:r>
            <w:r w:rsidR="00D26F4D">
              <w:t> </w:t>
            </w:r>
            <w:r w:rsidR="00450855" w:rsidRPr="00832A6C">
              <w:t>apakšnodaļas</w:t>
            </w:r>
            <w:r w:rsidR="00450855">
              <w:t xml:space="preserve"> regulējumam</w:t>
            </w:r>
            <w:r w:rsidR="00BF0419">
              <w:t>,</w:t>
            </w:r>
            <w:r w:rsidR="00450855">
              <w:t xml:space="preserve"> </w:t>
            </w:r>
            <w:r w:rsidR="00CF68FC" w:rsidRPr="001B3F44">
              <w:t xml:space="preserve">ir apbalvojami ar Ministru kabineta </w:t>
            </w:r>
            <w:r w:rsidR="002A0CB8" w:rsidRPr="001B3F44">
              <w:t>D</w:t>
            </w:r>
            <w:r w:rsidR="00CF68FC" w:rsidRPr="001B3F44">
              <w:t>iplomu un attiecīgu naudas balvu.</w:t>
            </w:r>
            <w:r w:rsidR="00CC7B69" w:rsidRPr="001B3F44">
              <w:t xml:space="preserve"> </w:t>
            </w:r>
          </w:p>
          <w:p w:rsidR="00E95E3A" w:rsidRPr="00593B14" w:rsidRDefault="00E95E3A" w:rsidP="00C47B6C">
            <w:pPr>
              <w:ind w:right="127"/>
              <w:jc w:val="both"/>
              <w:rPr>
                <w:bCs/>
              </w:rPr>
            </w:pPr>
          </w:p>
        </w:tc>
      </w:tr>
      <w:tr w:rsidR="009E0809" w:rsidRPr="00812051" w:rsidTr="00B8488C">
        <w:trPr>
          <w:trHeight w:val="476"/>
        </w:trPr>
        <w:tc>
          <w:tcPr>
            <w:tcW w:w="998" w:type="dxa"/>
          </w:tcPr>
          <w:p w:rsidR="009E0809" w:rsidRPr="00812051" w:rsidRDefault="008E3EBC" w:rsidP="00313E79">
            <w:pPr>
              <w:pStyle w:val="naiskr"/>
              <w:spacing w:before="0" w:after="0"/>
            </w:pPr>
            <w:r>
              <w:t>4</w:t>
            </w:r>
            <w:r w:rsidR="009E0809" w:rsidRPr="00812051">
              <w:t>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Projekta izstrādē iesaistītās institūcijas</w:t>
            </w:r>
          </w:p>
        </w:tc>
        <w:tc>
          <w:tcPr>
            <w:tcW w:w="5670" w:type="dxa"/>
          </w:tcPr>
          <w:p w:rsidR="00E95E3A" w:rsidRPr="00812051" w:rsidRDefault="009E0809" w:rsidP="005B1C02">
            <w:pPr>
              <w:spacing w:before="75" w:after="75"/>
              <w:ind w:left="82" w:right="141"/>
              <w:jc w:val="both"/>
            </w:pPr>
            <w:r w:rsidRPr="00812051">
              <w:t>Izglītības un zinātnes ministrija</w:t>
            </w:r>
            <w:r w:rsidR="00537A08">
              <w:t xml:space="preserve"> un Valsts izglītības attīstības aģentūra</w:t>
            </w:r>
            <w:r w:rsidR="00884967">
              <w:t>.</w:t>
            </w:r>
          </w:p>
        </w:tc>
      </w:tr>
      <w:tr w:rsidR="009E0809" w:rsidRPr="00812051" w:rsidTr="00B8488C">
        <w:tc>
          <w:tcPr>
            <w:tcW w:w="998" w:type="dxa"/>
          </w:tcPr>
          <w:p w:rsidR="009E0809" w:rsidRPr="00812051" w:rsidRDefault="008E3EBC" w:rsidP="00313E79">
            <w:pPr>
              <w:pStyle w:val="naiskr"/>
              <w:spacing w:before="0" w:after="0"/>
            </w:pPr>
            <w:r>
              <w:t>5</w:t>
            </w:r>
            <w:r w:rsidR="009E0809" w:rsidRPr="00812051">
              <w:t>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Cita informācija</w:t>
            </w:r>
          </w:p>
        </w:tc>
        <w:tc>
          <w:tcPr>
            <w:tcW w:w="5670" w:type="dxa"/>
          </w:tcPr>
          <w:p w:rsidR="009E0809" w:rsidRPr="00812051" w:rsidRDefault="009E5B9E" w:rsidP="00313E79">
            <w:pPr>
              <w:ind w:left="142" w:right="127"/>
              <w:jc w:val="both"/>
            </w:pPr>
            <w:r>
              <w:t>Nav</w:t>
            </w:r>
            <w:r w:rsidR="008F2415">
              <w:t>.</w:t>
            </w:r>
          </w:p>
        </w:tc>
      </w:tr>
    </w:tbl>
    <w:p w:rsidR="00E95E3A" w:rsidRDefault="00E95E3A" w:rsidP="009E0809"/>
    <w:p w:rsidR="009E0809" w:rsidRDefault="009E0809" w:rsidP="009E0809">
      <w:r w:rsidRPr="00812051">
        <w:t xml:space="preserve">Anotācijas </w:t>
      </w:r>
      <w:r>
        <w:t>II</w:t>
      </w:r>
      <w:r w:rsidRPr="00812051">
        <w:t xml:space="preserve"> sadaļa –</w:t>
      </w:r>
      <w:r w:rsidR="006F13D0">
        <w:t xml:space="preserve"> </w:t>
      </w:r>
      <w:r w:rsidRPr="00812051">
        <w:t>projekts š</w:t>
      </w:r>
      <w:r w:rsidR="006F13D0">
        <w:t>o jomu</w:t>
      </w:r>
      <w:r w:rsidRPr="00812051">
        <w:t xml:space="preserve"> neskar.</w:t>
      </w:r>
    </w:p>
    <w:p w:rsidR="00E95E3A" w:rsidRPr="00812051" w:rsidRDefault="00E95E3A" w:rsidP="009E0809"/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1166"/>
        <w:gridCol w:w="1439"/>
        <w:gridCol w:w="1438"/>
        <w:gridCol w:w="1438"/>
        <w:gridCol w:w="1199"/>
      </w:tblGrid>
      <w:tr w:rsidR="009E0809" w:rsidRPr="00812051" w:rsidTr="00B8488C">
        <w:trPr>
          <w:trHeight w:val="652"/>
          <w:jc w:val="center"/>
        </w:trPr>
        <w:tc>
          <w:tcPr>
            <w:tcW w:w="9309" w:type="dxa"/>
            <w:gridSpan w:val="6"/>
          </w:tcPr>
          <w:p w:rsidR="009E0809" w:rsidRPr="00812051" w:rsidRDefault="009E0809" w:rsidP="00313E79">
            <w:pPr>
              <w:pStyle w:val="naisnod"/>
              <w:spacing w:before="0" w:after="0"/>
              <w:rPr>
                <w:i/>
              </w:rPr>
            </w:pPr>
            <w:r w:rsidRPr="00812051">
              <w:br w:type="page"/>
              <w:t>III. Tiesību akta projekta ietekme uz valsts budžetu un pašvaldību budžetiem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12051">
              <w:rPr>
                <w:b/>
              </w:rPr>
              <w:t>Rādītāji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9E0809" w:rsidRPr="00C47B6C" w:rsidRDefault="007A3A37" w:rsidP="000A1052">
            <w:pPr>
              <w:pStyle w:val="naisf"/>
              <w:spacing w:before="0" w:after="0"/>
              <w:ind w:firstLine="0"/>
              <w:jc w:val="center"/>
            </w:pPr>
            <w:r>
              <w:rPr>
                <w:b/>
              </w:rPr>
              <w:t>201</w:t>
            </w:r>
            <w:r w:rsidR="000A1052">
              <w:rPr>
                <w:b/>
              </w:rPr>
              <w:t>8</w:t>
            </w:r>
            <w:r w:rsidR="009E0809" w:rsidRPr="00812051">
              <w:rPr>
                <w:b/>
              </w:rPr>
              <w:t>.gads</w:t>
            </w:r>
            <w:r w:rsidR="00C47B6C">
              <w:rPr>
                <w:b/>
              </w:rPr>
              <w:t xml:space="preserve"> </w:t>
            </w:r>
            <w:r w:rsidR="00C47B6C">
              <w:t>(</w:t>
            </w:r>
            <w:proofErr w:type="spellStart"/>
            <w:r w:rsidR="00C47B6C" w:rsidRPr="00C47B6C">
              <w:rPr>
                <w:i/>
              </w:rPr>
              <w:t>euro</w:t>
            </w:r>
            <w:proofErr w:type="spellEnd"/>
            <w:r w:rsidR="00C47B6C">
              <w:t>)</w:t>
            </w:r>
          </w:p>
        </w:tc>
        <w:tc>
          <w:tcPr>
            <w:tcW w:w="4075" w:type="dxa"/>
            <w:gridSpan w:val="3"/>
            <w:vAlign w:val="center"/>
          </w:tcPr>
          <w:p w:rsidR="009E0809" w:rsidRPr="00812051" w:rsidRDefault="009E0809" w:rsidP="007B754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 xml:space="preserve">Turpmākie trīs gadi </w:t>
            </w:r>
            <w:r w:rsidRPr="000C3FC5">
              <w:t>(</w:t>
            </w:r>
            <w:proofErr w:type="spellStart"/>
            <w:r w:rsidR="007B7545" w:rsidRPr="000C3FC5">
              <w:rPr>
                <w:i/>
              </w:rPr>
              <w:t>euro</w:t>
            </w:r>
            <w:proofErr w:type="spellEnd"/>
            <w:r w:rsidRPr="000C3FC5">
              <w:rPr>
                <w:i/>
              </w:rPr>
              <w:t>)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vAlign w:val="center"/>
          </w:tcPr>
          <w:p w:rsidR="009E0809" w:rsidRPr="00812051" w:rsidRDefault="009E0809" w:rsidP="000A105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0A1052">
              <w:rPr>
                <w:b/>
                <w:bCs/>
              </w:rPr>
              <w:t>9</w:t>
            </w:r>
          </w:p>
        </w:tc>
        <w:tc>
          <w:tcPr>
            <w:tcW w:w="1438" w:type="dxa"/>
            <w:vAlign w:val="center"/>
          </w:tcPr>
          <w:p w:rsidR="009E0809" w:rsidRPr="00812051" w:rsidRDefault="006C2FB4" w:rsidP="000A105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</w:t>
            </w:r>
            <w:r w:rsidR="000A1052">
              <w:rPr>
                <w:b/>
                <w:bCs/>
              </w:rPr>
              <w:t>20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0A105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</w:t>
            </w:r>
            <w:r w:rsidR="00DE02AD">
              <w:rPr>
                <w:b/>
                <w:bCs/>
              </w:rPr>
              <w:t>2</w:t>
            </w:r>
            <w:r w:rsidR="000A1052">
              <w:rPr>
                <w:b/>
                <w:bCs/>
              </w:rPr>
              <w:t>1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Saskaņā ar valsts budžetu kārtējam gadam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Izmaiņas kārtējā gadā, salīdzinot ar budžetu kārtējam gadam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1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2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3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4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5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6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 Budžeta ieņēmumi:</w:t>
            </w:r>
          </w:p>
        </w:tc>
        <w:tc>
          <w:tcPr>
            <w:tcW w:w="1166" w:type="dxa"/>
          </w:tcPr>
          <w:p w:rsidR="009E0809" w:rsidRPr="00CA7866" w:rsidRDefault="00831BD8" w:rsidP="00FB6196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B8488C">
        <w:trPr>
          <w:trHeight w:val="1147"/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lastRenderedPageBreak/>
              <w:t>1.1. valsts pamatbudžets, tai skaitā ieņēmumi no maksas pakalpojumiem un citi pašu ieņēmumi</w:t>
            </w:r>
          </w:p>
        </w:tc>
        <w:tc>
          <w:tcPr>
            <w:tcW w:w="1166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831BD8" w:rsidP="00FB6196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0</w:t>
            </w:r>
          </w:p>
        </w:tc>
        <w:tc>
          <w:tcPr>
            <w:tcW w:w="1439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1.3. pašvaldību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75A9F" w:rsidRPr="00812051" w:rsidTr="00B8488C">
        <w:trPr>
          <w:jc w:val="center"/>
        </w:trPr>
        <w:tc>
          <w:tcPr>
            <w:tcW w:w="2629" w:type="dxa"/>
          </w:tcPr>
          <w:p w:rsidR="00975A9F" w:rsidRPr="00812051" w:rsidRDefault="00975A9F" w:rsidP="00975A9F">
            <w:r w:rsidRPr="00812051">
              <w:t>2. Budžeta izdevumi:</w:t>
            </w:r>
          </w:p>
        </w:tc>
        <w:tc>
          <w:tcPr>
            <w:tcW w:w="1166" w:type="dxa"/>
          </w:tcPr>
          <w:p w:rsidR="00975A9F" w:rsidRDefault="00975A9F" w:rsidP="00975A9F">
            <w:pPr>
              <w:jc w:val="center"/>
            </w:pPr>
            <w:r w:rsidRPr="00684646">
              <w:t>0</w:t>
            </w:r>
          </w:p>
        </w:tc>
        <w:tc>
          <w:tcPr>
            <w:tcW w:w="1439" w:type="dxa"/>
          </w:tcPr>
          <w:p w:rsidR="00975A9F" w:rsidRDefault="00975A9F" w:rsidP="00975A9F">
            <w:pPr>
              <w:jc w:val="center"/>
            </w:pPr>
            <w:r>
              <w:t>132</w:t>
            </w:r>
            <w:r w:rsidRPr="00684646">
              <w:t>00</w:t>
            </w:r>
          </w:p>
        </w:tc>
        <w:tc>
          <w:tcPr>
            <w:tcW w:w="1438" w:type="dxa"/>
          </w:tcPr>
          <w:p w:rsidR="00975A9F" w:rsidRPr="00CA7866" w:rsidRDefault="00975A9F" w:rsidP="00975A9F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975A9F" w:rsidRPr="00CA7866" w:rsidRDefault="00975A9F" w:rsidP="00975A9F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975A9F" w:rsidRPr="00CA7866" w:rsidRDefault="00975A9F" w:rsidP="00975A9F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75A9F" w:rsidRPr="00812051" w:rsidTr="00B8488C">
        <w:trPr>
          <w:jc w:val="center"/>
        </w:trPr>
        <w:tc>
          <w:tcPr>
            <w:tcW w:w="2629" w:type="dxa"/>
          </w:tcPr>
          <w:p w:rsidR="00975A9F" w:rsidRPr="00812051" w:rsidRDefault="00975A9F" w:rsidP="00975A9F">
            <w:r w:rsidRPr="00812051">
              <w:t>2.1. valsts pamatbudžets</w:t>
            </w:r>
          </w:p>
        </w:tc>
        <w:tc>
          <w:tcPr>
            <w:tcW w:w="1166" w:type="dxa"/>
          </w:tcPr>
          <w:p w:rsidR="00975A9F" w:rsidRDefault="00975A9F" w:rsidP="00975A9F">
            <w:pPr>
              <w:jc w:val="center"/>
            </w:pPr>
            <w:r w:rsidRPr="00684646">
              <w:t>0</w:t>
            </w:r>
          </w:p>
        </w:tc>
        <w:tc>
          <w:tcPr>
            <w:tcW w:w="1439" w:type="dxa"/>
          </w:tcPr>
          <w:p w:rsidR="00975A9F" w:rsidRDefault="00975A9F" w:rsidP="00975A9F">
            <w:pPr>
              <w:jc w:val="center"/>
            </w:pPr>
            <w:r>
              <w:t>132</w:t>
            </w:r>
            <w:r w:rsidRPr="00684646">
              <w:t>00</w:t>
            </w:r>
          </w:p>
        </w:tc>
        <w:tc>
          <w:tcPr>
            <w:tcW w:w="1438" w:type="dxa"/>
            <w:vAlign w:val="center"/>
          </w:tcPr>
          <w:p w:rsidR="00975A9F" w:rsidRPr="00812051" w:rsidRDefault="00975A9F" w:rsidP="00975A9F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75A9F" w:rsidRPr="00812051" w:rsidRDefault="00975A9F" w:rsidP="00975A9F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75A9F" w:rsidRPr="00812051" w:rsidRDefault="00975A9F" w:rsidP="00975A9F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2.3. pašvaldību budžets 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 Finansiālā ietekme: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75A9F" w:rsidP="00313E79">
            <w:pPr>
              <w:jc w:val="center"/>
            </w:pPr>
            <w:r>
              <w:t>-1320</w:t>
            </w:r>
            <w:r w:rsidR="00642577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3.1. valsts pamatbudžets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75A9F" w:rsidP="00313E79">
            <w:pPr>
              <w:jc w:val="center"/>
            </w:pPr>
            <w:r>
              <w:t>-13200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3.2. speciālais 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3.3. pašvaldību budžets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</w:tcPr>
          <w:p w:rsidR="009E0809" w:rsidRPr="00812051" w:rsidRDefault="009E0809" w:rsidP="00313E79">
            <w:r w:rsidRPr="00812051">
              <w:t>4</w:t>
            </w:r>
            <w:r w:rsidR="006C2FB4">
              <w:t>. Finanšu līdzekļi papildu izde</w:t>
            </w:r>
            <w:r w:rsidRPr="00812051">
              <w:t>vumu finansēšanai (kompensējošu izdevumu samazinājumu norāda ar "+" zīmi)</w:t>
            </w:r>
          </w:p>
        </w:tc>
        <w:tc>
          <w:tcPr>
            <w:tcW w:w="1166" w:type="dxa"/>
            <w:vMerge w:val="restart"/>
          </w:tcPr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39570D" w:rsidRDefault="00975A9F" w:rsidP="00313E79">
            <w:pPr>
              <w:jc w:val="center"/>
            </w:pPr>
            <w:r>
              <w:t>13200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 Precizēta finansiālā ietekme:</w:t>
            </w:r>
          </w:p>
        </w:tc>
        <w:tc>
          <w:tcPr>
            <w:tcW w:w="1166" w:type="dxa"/>
            <w:vMerge w:val="restart"/>
          </w:tcPr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5.1. valsts pamatbudžets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5.2. speciālais 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5.3. pašvaldību budžets 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6. Detalizēts ieņēmumu un izdevu</w:t>
            </w:r>
            <w:r w:rsidRPr="00812051">
              <w:softHyphen/>
              <w:t>mu aprēķins (ja nepieciešams, detalizētu ieņēmumu un izdevumu aprēķinu var pievienot anotācijas pielikumā)</w:t>
            </w:r>
          </w:p>
        </w:tc>
        <w:tc>
          <w:tcPr>
            <w:tcW w:w="6680" w:type="dxa"/>
            <w:gridSpan w:val="5"/>
          </w:tcPr>
          <w:p w:rsidR="00831BD8" w:rsidRDefault="00831BD8" w:rsidP="00831BD8">
            <w:pPr>
              <w:pStyle w:val="naisf"/>
              <w:spacing w:before="0" w:after="0"/>
              <w:ind w:firstLine="0"/>
            </w:pPr>
          </w:p>
          <w:p w:rsidR="00831BD8" w:rsidRDefault="00831BD8" w:rsidP="00831BD8">
            <w:pPr>
              <w:pStyle w:val="naisf"/>
              <w:spacing w:before="0" w:after="0"/>
              <w:ind w:firstLine="0"/>
            </w:pPr>
            <w:r>
              <w:t xml:space="preserve">Naudas balvas apmērs noteikts, ievērojot </w:t>
            </w:r>
            <w:r w:rsidRPr="00812051">
              <w:t xml:space="preserve">noteikumu </w:t>
            </w:r>
            <w:r w:rsidRPr="000C3FC5">
              <w:t>43.</w:t>
            </w:r>
            <w:r w:rsidRPr="000C3FC5">
              <w:rPr>
                <w:vertAlign w:val="superscript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F0419">
              <w:t>un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C3FC5">
              <w:t>43.</w:t>
            </w:r>
            <w:r w:rsidRPr="000C3FC5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0C3FC5">
              <w:t>punkt</w:t>
            </w:r>
            <w:r>
              <w:t>ā noteikto maksimālo naudas balvas apmēr</w:t>
            </w:r>
            <w:r w:rsidRPr="000C3FC5">
              <w:t>u</w:t>
            </w:r>
            <w:r w:rsidR="00975A9F">
              <w:t>:</w:t>
            </w:r>
          </w:p>
          <w:p w:rsidR="00975A9F" w:rsidRDefault="00975A9F" w:rsidP="00831BD8">
            <w:pPr>
              <w:pStyle w:val="naisf"/>
              <w:spacing w:before="0" w:after="0"/>
              <w:ind w:firstLine="0"/>
            </w:pPr>
          </w:p>
          <w:p w:rsidR="00975A9F" w:rsidRPr="00975A9F" w:rsidRDefault="00975A9F" w:rsidP="00975A9F">
            <w:pPr>
              <w:pStyle w:val="naisf"/>
              <w:spacing w:before="0" w:after="0"/>
              <w:ind w:firstLine="0"/>
            </w:pPr>
            <w:r w:rsidRPr="00975A9F">
              <w:t>1) zelta medaļa diviem konkursantiem un diviem ekspert</w:t>
            </w:r>
            <w:r w:rsidR="007D22E0">
              <w:t>ie</w:t>
            </w:r>
            <w:r w:rsidRPr="00975A9F">
              <w:t xml:space="preserve">m: (1 800 </w:t>
            </w:r>
            <w:proofErr w:type="spellStart"/>
            <w:r w:rsidRPr="00975A9F">
              <w:t>euro</w:t>
            </w:r>
            <w:proofErr w:type="spellEnd"/>
            <w:r w:rsidRPr="00975A9F">
              <w:t xml:space="preserve"> x 2) + (900 </w:t>
            </w:r>
            <w:proofErr w:type="spellStart"/>
            <w:r w:rsidRPr="00975A9F">
              <w:t>euro</w:t>
            </w:r>
            <w:proofErr w:type="spellEnd"/>
            <w:r w:rsidRPr="00975A9F">
              <w:t xml:space="preserve"> x 2) = 5 400 </w:t>
            </w:r>
            <w:proofErr w:type="spellStart"/>
            <w:r w:rsidRPr="00975A9F">
              <w:t>euro</w:t>
            </w:r>
            <w:proofErr w:type="spellEnd"/>
            <w:r w:rsidRPr="00975A9F">
              <w:t>;</w:t>
            </w:r>
          </w:p>
          <w:p w:rsidR="00975A9F" w:rsidRPr="00975A9F" w:rsidRDefault="00975A9F" w:rsidP="00975A9F">
            <w:pPr>
              <w:pStyle w:val="naisf"/>
              <w:spacing w:before="0" w:after="0"/>
              <w:ind w:firstLine="0"/>
            </w:pPr>
            <w:r w:rsidRPr="00975A9F">
              <w:t xml:space="preserve">2) sudraba medaļa konkursantam un ekspertam: 1 400 </w:t>
            </w:r>
            <w:proofErr w:type="spellStart"/>
            <w:r w:rsidRPr="00975A9F">
              <w:t>euro</w:t>
            </w:r>
            <w:proofErr w:type="spellEnd"/>
            <w:r w:rsidRPr="00975A9F">
              <w:t xml:space="preserve"> + 800 </w:t>
            </w:r>
            <w:proofErr w:type="spellStart"/>
            <w:r w:rsidRPr="00975A9F">
              <w:t>euro</w:t>
            </w:r>
            <w:proofErr w:type="spellEnd"/>
            <w:r w:rsidRPr="00975A9F">
              <w:t xml:space="preserve"> = 2 200 </w:t>
            </w:r>
            <w:proofErr w:type="spellStart"/>
            <w:r w:rsidRPr="00975A9F">
              <w:t>euro</w:t>
            </w:r>
            <w:proofErr w:type="spellEnd"/>
            <w:r w:rsidRPr="00975A9F">
              <w:t>;</w:t>
            </w:r>
          </w:p>
          <w:p w:rsidR="00975A9F" w:rsidRDefault="00975A9F" w:rsidP="00975A9F">
            <w:pPr>
              <w:pStyle w:val="naisf"/>
              <w:spacing w:before="0" w:after="0"/>
              <w:ind w:firstLine="0"/>
            </w:pPr>
            <w:r w:rsidRPr="00975A9F">
              <w:t xml:space="preserve">3) izcilības četriem konkursantiem un četriem ekspertiem: (800 </w:t>
            </w:r>
            <w:proofErr w:type="spellStart"/>
            <w:r w:rsidRPr="00975A9F">
              <w:t>euro</w:t>
            </w:r>
            <w:proofErr w:type="spellEnd"/>
            <w:r w:rsidRPr="00975A9F">
              <w:t xml:space="preserve"> x 4) + (600 </w:t>
            </w:r>
            <w:proofErr w:type="spellStart"/>
            <w:r w:rsidRPr="00975A9F">
              <w:t>euro</w:t>
            </w:r>
            <w:proofErr w:type="spellEnd"/>
            <w:r w:rsidRPr="00975A9F">
              <w:t xml:space="preserve"> x 4) = 5 600 </w:t>
            </w:r>
            <w:proofErr w:type="spellStart"/>
            <w:r w:rsidRPr="00975A9F">
              <w:t>euro</w:t>
            </w:r>
            <w:proofErr w:type="spellEnd"/>
            <w:r w:rsidRPr="00975A9F">
              <w:t>.</w:t>
            </w:r>
          </w:p>
          <w:p w:rsidR="00684551" w:rsidRPr="00FB6196" w:rsidRDefault="00684551" w:rsidP="00831BD8">
            <w:pPr>
              <w:pStyle w:val="naisf"/>
              <w:spacing w:before="0" w:after="0"/>
              <w:ind w:firstLine="0"/>
            </w:pP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7. Cita informācija</w:t>
            </w:r>
          </w:p>
        </w:tc>
        <w:tc>
          <w:tcPr>
            <w:tcW w:w="6680" w:type="dxa"/>
            <w:gridSpan w:val="5"/>
          </w:tcPr>
          <w:p w:rsidR="00975A9F" w:rsidRDefault="00975A9F" w:rsidP="009000EA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color w:val="000000"/>
                <w:szCs w:val="28"/>
              </w:rPr>
            </w:pPr>
          </w:p>
          <w:p w:rsidR="00456420" w:rsidRDefault="00975A9F" w:rsidP="009000EA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Cs w:val="28"/>
              </w:rPr>
            </w:pPr>
            <w:r w:rsidRPr="00975A9F">
              <w:rPr>
                <w:color w:val="000000"/>
                <w:szCs w:val="28"/>
              </w:rPr>
              <w:t xml:space="preserve">Lai nodrošinātu finansējumu naudas balvas 13200 </w:t>
            </w:r>
            <w:proofErr w:type="spellStart"/>
            <w:r w:rsidRPr="00975A9F">
              <w:rPr>
                <w:i/>
                <w:color w:val="000000"/>
                <w:szCs w:val="28"/>
              </w:rPr>
              <w:t>euro</w:t>
            </w:r>
            <w:proofErr w:type="spellEnd"/>
            <w:r w:rsidRPr="00975A9F">
              <w:rPr>
                <w:color w:val="000000"/>
                <w:szCs w:val="28"/>
              </w:rPr>
              <w:t xml:space="preserve"> apmērā izmaksai, Izglītības un zinātnes ministrijas budžeta apakšprogrammā 42.05.00 "Valsts izglītības attīstības aģentūras darbības nodrošināšana" tiks veikta pārdale no precēm un pakalpojumiem (2000. kods) uz sociālajiem pabalstiem (6000. kods).</w:t>
            </w:r>
            <w:r w:rsidR="007B38DF">
              <w:rPr>
                <w:szCs w:val="28"/>
              </w:rPr>
              <w:t xml:space="preserve"> </w:t>
            </w:r>
          </w:p>
          <w:p w:rsidR="00E95E3A" w:rsidRPr="00812051" w:rsidRDefault="00E95E3A" w:rsidP="00111548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</w:p>
        </w:tc>
      </w:tr>
    </w:tbl>
    <w:p w:rsidR="00E95E3A" w:rsidRDefault="00E95E3A" w:rsidP="009E0809"/>
    <w:p w:rsidR="00C20C92" w:rsidRDefault="009E0809" w:rsidP="009E0809">
      <w:r w:rsidRPr="00812051">
        <w:t>Anotācijas IV</w:t>
      </w:r>
      <w:r>
        <w:t>, V</w:t>
      </w:r>
      <w:r w:rsidR="00C20C92">
        <w:t xml:space="preserve"> un </w:t>
      </w:r>
      <w:r w:rsidRPr="00812051">
        <w:t>V</w:t>
      </w:r>
      <w:r>
        <w:t>I</w:t>
      </w:r>
      <w:r w:rsidR="00381B20">
        <w:t xml:space="preserve"> </w:t>
      </w:r>
      <w:r w:rsidRPr="00812051">
        <w:t>sadaļa –</w:t>
      </w:r>
      <w:r w:rsidR="00835D9C">
        <w:t xml:space="preserve"> projekts šīs jomas</w:t>
      </w:r>
      <w:r w:rsidR="00C5780A">
        <w:t xml:space="preserve"> neskar.</w:t>
      </w:r>
    </w:p>
    <w:p w:rsidR="00975A9F" w:rsidRDefault="00975A9F" w:rsidP="009E0809"/>
    <w:p w:rsidR="00975A9F" w:rsidRDefault="00975A9F" w:rsidP="009E0809"/>
    <w:p w:rsidR="00975A9F" w:rsidRDefault="00975A9F" w:rsidP="009E0809"/>
    <w:p w:rsidR="00E95E3A" w:rsidRPr="00812051" w:rsidRDefault="00E95E3A" w:rsidP="009E0809"/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26"/>
        <w:gridCol w:w="3669"/>
      </w:tblGrid>
      <w:tr w:rsidR="00C20C92" w:rsidRPr="00812051" w:rsidTr="002354D2">
        <w:trPr>
          <w:jc w:val="center"/>
        </w:trPr>
        <w:tc>
          <w:tcPr>
            <w:tcW w:w="9374" w:type="dxa"/>
            <w:gridSpan w:val="3"/>
          </w:tcPr>
          <w:p w:rsidR="00C20C92" w:rsidRPr="00812051" w:rsidRDefault="00C20C92" w:rsidP="002354D2">
            <w:pPr>
              <w:pStyle w:val="naisnod"/>
              <w:spacing w:before="0" w:after="0"/>
              <w:ind w:left="57" w:right="57"/>
            </w:pPr>
            <w:r w:rsidRPr="00812051">
              <w:t>VII. Tiesību akta projekta izpildes nodrošināšana un tās ietekme uz institūcijām</w:t>
            </w:r>
          </w:p>
        </w:tc>
      </w:tr>
      <w:tr w:rsidR="00C20C92" w:rsidRPr="00812051" w:rsidTr="002354D2">
        <w:trPr>
          <w:trHeight w:val="427"/>
          <w:jc w:val="center"/>
        </w:trPr>
        <w:tc>
          <w:tcPr>
            <w:tcW w:w="879" w:type="dxa"/>
          </w:tcPr>
          <w:p w:rsidR="00C20C92" w:rsidRPr="00812051" w:rsidRDefault="00C20C92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1.</w:t>
            </w:r>
          </w:p>
        </w:tc>
        <w:tc>
          <w:tcPr>
            <w:tcW w:w="4826" w:type="dxa"/>
          </w:tcPr>
          <w:p w:rsidR="00C20C92" w:rsidRPr="00812051" w:rsidRDefault="00C20C92" w:rsidP="002354D2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izpildē iesaistītās institūcijas </w:t>
            </w:r>
          </w:p>
        </w:tc>
        <w:tc>
          <w:tcPr>
            <w:tcW w:w="3669" w:type="dxa"/>
          </w:tcPr>
          <w:p w:rsidR="00C20C92" w:rsidRPr="00812051" w:rsidRDefault="00C20C92" w:rsidP="00C20C92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812051">
              <w:rPr>
                <w:b w:val="0"/>
                <w:iCs/>
              </w:rPr>
              <w:t>Iz</w:t>
            </w:r>
            <w:r>
              <w:rPr>
                <w:b w:val="0"/>
                <w:iCs/>
              </w:rPr>
              <w:t>glītības un zinātnes ministrija un Valsts izglītības attīstības aģentūra.</w:t>
            </w:r>
          </w:p>
        </w:tc>
      </w:tr>
      <w:tr w:rsidR="00C20C92" w:rsidRPr="00812051" w:rsidTr="002354D2">
        <w:trPr>
          <w:trHeight w:val="780"/>
          <w:jc w:val="center"/>
        </w:trPr>
        <w:tc>
          <w:tcPr>
            <w:tcW w:w="879" w:type="dxa"/>
          </w:tcPr>
          <w:p w:rsidR="00C20C92" w:rsidRPr="00812051" w:rsidRDefault="00527574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C20C92" w:rsidRPr="00812051">
              <w:rPr>
                <w:b w:val="0"/>
              </w:rPr>
              <w:t>.</w:t>
            </w:r>
          </w:p>
        </w:tc>
        <w:tc>
          <w:tcPr>
            <w:tcW w:w="4826" w:type="dxa"/>
          </w:tcPr>
          <w:p w:rsidR="00C20C92" w:rsidRPr="00A85DD1" w:rsidRDefault="00C20C92" w:rsidP="00C20C92">
            <w:pPr>
              <w:rPr>
                <w:rFonts w:eastAsia="Times New Roman"/>
              </w:rPr>
            </w:pPr>
            <w:r w:rsidRPr="00A85DD1">
              <w:rPr>
                <w:rFonts w:eastAsia="Times New Roman"/>
              </w:rPr>
              <w:t xml:space="preserve">Projekta izpildes ietekme uz pārvaldes funkcijām un institucionālo struktūru. </w:t>
            </w:r>
          </w:p>
          <w:p w:rsidR="00C20C92" w:rsidRPr="008F2415" w:rsidRDefault="00C20C92" w:rsidP="008F2415">
            <w:pPr>
              <w:rPr>
                <w:rFonts w:eastAsia="Times New Roman"/>
                <w:color w:val="414142"/>
              </w:rPr>
            </w:pPr>
            <w:r w:rsidRPr="00A85DD1">
              <w:rPr>
                <w:rFonts w:eastAsia="Times New Roman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669" w:type="dxa"/>
          </w:tcPr>
          <w:p w:rsidR="00C20C92" w:rsidRPr="007A1021" w:rsidRDefault="00C20C92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C20C92" w:rsidRPr="00812051" w:rsidTr="002354D2">
        <w:trPr>
          <w:trHeight w:val="312"/>
          <w:jc w:val="center"/>
        </w:trPr>
        <w:tc>
          <w:tcPr>
            <w:tcW w:w="879" w:type="dxa"/>
          </w:tcPr>
          <w:p w:rsidR="00C20C92" w:rsidRPr="00812051" w:rsidRDefault="00527574" w:rsidP="002354D2">
            <w:pPr>
              <w:pStyle w:val="naiskr"/>
              <w:spacing w:before="0" w:after="0"/>
              <w:ind w:left="57" w:right="57"/>
            </w:pPr>
            <w:r>
              <w:t>3</w:t>
            </w:r>
            <w:r w:rsidR="00C20C92" w:rsidRPr="00812051">
              <w:t>.</w:t>
            </w:r>
          </w:p>
        </w:tc>
        <w:tc>
          <w:tcPr>
            <w:tcW w:w="4826" w:type="dxa"/>
          </w:tcPr>
          <w:p w:rsidR="00C20C92" w:rsidRPr="00812051" w:rsidRDefault="00C20C92" w:rsidP="002354D2">
            <w:pPr>
              <w:pStyle w:val="naiskr"/>
              <w:spacing w:before="0" w:after="0"/>
              <w:ind w:left="57" w:right="57"/>
            </w:pPr>
            <w:r w:rsidRPr="00812051">
              <w:t>Cita informācija</w:t>
            </w:r>
          </w:p>
        </w:tc>
        <w:tc>
          <w:tcPr>
            <w:tcW w:w="3669" w:type="dxa"/>
          </w:tcPr>
          <w:p w:rsidR="00C20C92" w:rsidRPr="00812051" w:rsidRDefault="00C20C92" w:rsidP="002354D2">
            <w:pPr>
              <w:pStyle w:val="naiskr"/>
              <w:spacing w:before="0" w:after="0"/>
              <w:ind w:left="57" w:right="57"/>
            </w:pPr>
            <w:r>
              <w:t>Nav.</w:t>
            </w:r>
          </w:p>
        </w:tc>
      </w:tr>
    </w:tbl>
    <w:p w:rsidR="003A7D59" w:rsidRPr="00AA437E" w:rsidRDefault="003A7D59" w:rsidP="009E0809">
      <w:pPr>
        <w:pStyle w:val="BodyText2"/>
        <w:spacing w:after="0" w:line="240" w:lineRule="auto"/>
        <w:ind w:firstLine="720"/>
        <w:jc w:val="both"/>
      </w:pPr>
    </w:p>
    <w:p w:rsidR="004425E1" w:rsidRDefault="004425E1" w:rsidP="008F2415">
      <w:pPr>
        <w:pStyle w:val="BodyText2"/>
        <w:spacing w:after="0" w:line="240" w:lineRule="auto"/>
        <w:ind w:firstLine="720"/>
        <w:jc w:val="both"/>
      </w:pPr>
    </w:p>
    <w:p w:rsidR="00A85DD1" w:rsidRDefault="00A85DD1" w:rsidP="00A85DD1">
      <w:pPr>
        <w:rPr>
          <w:rFonts w:eastAsia="Times New Roman"/>
          <w:lang w:eastAsia="en-US"/>
        </w:rPr>
      </w:pPr>
    </w:p>
    <w:p w:rsidR="00A85DD1" w:rsidRDefault="00A85DD1" w:rsidP="00A85DD1">
      <w:pPr>
        <w:rPr>
          <w:rFonts w:eastAsia="Times New Roman"/>
          <w:lang w:eastAsia="en-US"/>
        </w:rPr>
      </w:pPr>
    </w:p>
    <w:p w:rsidR="00B82A41" w:rsidRPr="00654CD4" w:rsidRDefault="00B82A41" w:rsidP="00B82A41">
      <w:pPr>
        <w:jc w:val="both"/>
        <w:rPr>
          <w:rFonts w:eastAsia="Times New Roman"/>
          <w:lang w:eastAsia="en-US"/>
        </w:rPr>
      </w:pPr>
      <w:r w:rsidRPr="00654CD4">
        <w:rPr>
          <w:rFonts w:eastAsia="Times New Roman"/>
        </w:rPr>
        <w:t xml:space="preserve">Izglītības un zinātnes ministra vietā – </w:t>
      </w:r>
    </w:p>
    <w:p w:rsidR="00B82A41" w:rsidRPr="00654CD4" w:rsidRDefault="00B82A41" w:rsidP="00B82A41">
      <w:pPr>
        <w:jc w:val="both"/>
        <w:rPr>
          <w:rFonts w:eastAsia="Times New Roman"/>
        </w:rPr>
      </w:pPr>
      <w:r w:rsidRPr="00654CD4">
        <w:t>labklājības ministrs</w:t>
      </w:r>
      <w:r w:rsidRPr="00654CD4">
        <w:tab/>
      </w:r>
      <w:r w:rsidRPr="00654CD4">
        <w:tab/>
      </w:r>
      <w:r w:rsidRPr="00654CD4">
        <w:tab/>
      </w:r>
      <w:r w:rsidRPr="00654CD4">
        <w:tab/>
      </w:r>
      <w:r>
        <w:tab/>
      </w:r>
      <w:r w:rsidRPr="00654CD4">
        <w:tab/>
      </w:r>
      <w:r w:rsidRPr="00654CD4">
        <w:tab/>
      </w:r>
      <w:r w:rsidRPr="00654CD4">
        <w:rPr>
          <w:rFonts w:eastAsia="Times New Roman"/>
        </w:rPr>
        <w:tab/>
        <w:t>Jānis Reirs</w:t>
      </w:r>
    </w:p>
    <w:p w:rsidR="00A85DD1" w:rsidRDefault="00A85DD1" w:rsidP="00A85DD1">
      <w:bookmarkStart w:id="3" w:name="_GoBack"/>
      <w:bookmarkEnd w:id="3"/>
    </w:p>
    <w:p w:rsidR="00A85DD1" w:rsidRDefault="00A85DD1" w:rsidP="00A85DD1"/>
    <w:p w:rsidR="00C33F13" w:rsidRPr="00AA437E" w:rsidRDefault="00C33F13" w:rsidP="00A85DD1">
      <w:r w:rsidRPr="00AA437E">
        <w:t>Vizē:</w:t>
      </w:r>
    </w:p>
    <w:p w:rsidR="008F2415" w:rsidRPr="008F2415" w:rsidRDefault="00C33F13" w:rsidP="00A85DD1">
      <w:r w:rsidRPr="00AA437E">
        <w:t>Valsts sekretāre</w:t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="003B5C89">
        <w:tab/>
      </w:r>
      <w:r w:rsidR="00527574">
        <w:t>L</w:t>
      </w:r>
      <w:r w:rsidRPr="00AA437E">
        <w:t>.</w:t>
      </w:r>
      <w:r w:rsidR="00D26F4D">
        <w:t> </w:t>
      </w:r>
      <w:r w:rsidRPr="00AA437E">
        <w:t>Le</w:t>
      </w:r>
      <w:r w:rsidR="00527574">
        <w:t>j</w:t>
      </w:r>
      <w:r w:rsidRPr="00AA437E">
        <w:t>iņa</w:t>
      </w:r>
    </w:p>
    <w:p w:rsidR="008F2415" w:rsidRDefault="008F2415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81773B" w:rsidRPr="008F2415" w:rsidRDefault="0083216A" w:rsidP="00527574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F770DE" w:rsidRPr="00831BD8">
        <w:rPr>
          <w:sz w:val="20"/>
          <w:szCs w:val="20"/>
        </w:rPr>
        <w:t>.</w:t>
      </w:r>
      <w:r w:rsidR="00F41567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C33F13" w:rsidRPr="00831BD8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="0095477A" w:rsidRPr="00831BD8">
        <w:rPr>
          <w:sz w:val="20"/>
          <w:szCs w:val="20"/>
        </w:rPr>
        <w:t>.</w:t>
      </w:r>
      <w:r w:rsidR="0095477A" w:rsidRPr="008F2415">
        <w:rPr>
          <w:sz w:val="20"/>
          <w:szCs w:val="20"/>
        </w:rPr>
        <w:t xml:space="preserve"> </w:t>
      </w:r>
    </w:p>
    <w:p w:rsidR="001B3F44" w:rsidRPr="008F2415" w:rsidRDefault="00F41567">
      <w:pPr>
        <w:rPr>
          <w:sz w:val="20"/>
          <w:szCs w:val="20"/>
        </w:rPr>
      </w:pPr>
      <w:r>
        <w:rPr>
          <w:sz w:val="20"/>
          <w:szCs w:val="20"/>
        </w:rPr>
        <w:t>Āne</w:t>
      </w:r>
      <w:r w:rsidR="00A85DD1">
        <w:rPr>
          <w:sz w:val="20"/>
          <w:szCs w:val="20"/>
        </w:rPr>
        <w:t xml:space="preserve"> </w:t>
      </w:r>
      <w:r w:rsidR="00A85DD1" w:rsidRPr="008F2415">
        <w:rPr>
          <w:sz w:val="20"/>
          <w:szCs w:val="20"/>
        </w:rPr>
        <w:t>67</w:t>
      </w:r>
      <w:r w:rsidR="00A85DD1">
        <w:rPr>
          <w:sz w:val="20"/>
          <w:szCs w:val="20"/>
        </w:rPr>
        <w:t>358443</w:t>
      </w:r>
    </w:p>
    <w:p w:rsidR="006A4D9C" w:rsidRDefault="006111A0">
      <w:hyperlink r:id="rId7" w:history="1">
        <w:r w:rsidR="00F41567" w:rsidRPr="00100C61">
          <w:rPr>
            <w:rStyle w:val="Hyperlink"/>
          </w:rPr>
          <w:t>inta.ane@viaa.gov.lv</w:t>
        </w:r>
      </w:hyperlink>
    </w:p>
    <w:p w:rsidR="00F41567" w:rsidRPr="008F2415" w:rsidRDefault="00F41567">
      <w:pPr>
        <w:rPr>
          <w:sz w:val="20"/>
          <w:szCs w:val="20"/>
        </w:rPr>
      </w:pPr>
    </w:p>
    <w:sectPr w:rsidR="00F41567" w:rsidRPr="008F2415" w:rsidSect="00F515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701" w:header="568" w:footer="3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A0" w:rsidRDefault="006111A0" w:rsidP="00430EAF">
      <w:r>
        <w:separator/>
      </w:r>
    </w:p>
  </w:endnote>
  <w:endnote w:type="continuationSeparator" w:id="0">
    <w:p w:rsidR="006111A0" w:rsidRDefault="006111A0" w:rsidP="0043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51" w:rsidRPr="001B03B8" w:rsidRDefault="005E2C35" w:rsidP="00812051">
    <w:pPr>
      <w:jc w:val="both"/>
      <w:rPr>
        <w:sz w:val="20"/>
        <w:szCs w:val="20"/>
      </w:rPr>
    </w:pPr>
    <w:r>
      <w:rPr>
        <w:sz w:val="20"/>
        <w:szCs w:val="20"/>
      </w:rPr>
      <w:t>IZM</w:t>
    </w:r>
    <w:r w:rsidR="00516E06" w:rsidRPr="001B03B8">
      <w:rPr>
        <w:sz w:val="20"/>
        <w:szCs w:val="20"/>
      </w:rPr>
      <w:t>Anot_</w:t>
    </w:r>
    <w:r w:rsidR="0083216A">
      <w:rPr>
        <w:sz w:val="20"/>
        <w:szCs w:val="20"/>
      </w:rPr>
      <w:t>231018</w:t>
    </w:r>
    <w:r w:rsidR="00670112" w:rsidRPr="00831BD8">
      <w:rPr>
        <w:sz w:val="20"/>
        <w:szCs w:val="20"/>
      </w:rPr>
      <w:t>_</w:t>
    </w:r>
    <w:r w:rsidR="006C2CA0" w:rsidRPr="001B03B8">
      <w:rPr>
        <w:sz w:val="20"/>
        <w:szCs w:val="20"/>
      </w:rPr>
      <w:t>diplomi</w:t>
    </w:r>
  </w:p>
  <w:p w:rsidR="00080CC1" w:rsidRPr="001B03B8" w:rsidRDefault="006111A0" w:rsidP="00055608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E9" w:rsidRPr="001B03B8" w:rsidRDefault="005E2C35" w:rsidP="002951E9">
    <w:pPr>
      <w:jc w:val="both"/>
      <w:rPr>
        <w:sz w:val="20"/>
        <w:szCs w:val="20"/>
      </w:rPr>
    </w:pPr>
    <w:r>
      <w:rPr>
        <w:sz w:val="20"/>
        <w:szCs w:val="20"/>
      </w:rPr>
      <w:t>IZM</w:t>
    </w:r>
    <w:r w:rsidR="00516E06" w:rsidRPr="001B03B8">
      <w:rPr>
        <w:sz w:val="20"/>
        <w:szCs w:val="20"/>
      </w:rPr>
      <w:t>Anot_</w:t>
    </w:r>
    <w:r w:rsidR="0083216A">
      <w:rPr>
        <w:sz w:val="20"/>
        <w:szCs w:val="20"/>
      </w:rPr>
      <w:t>231018</w:t>
    </w:r>
    <w:r w:rsidR="00516E06" w:rsidRPr="001B03B8">
      <w:rPr>
        <w:sz w:val="20"/>
        <w:szCs w:val="20"/>
      </w:rPr>
      <w:t>_</w:t>
    </w:r>
    <w:r w:rsidR="006C2CA0" w:rsidRPr="001B03B8">
      <w:rPr>
        <w:sz w:val="20"/>
        <w:szCs w:val="20"/>
      </w:rPr>
      <w:t>diplomi</w:t>
    </w:r>
  </w:p>
  <w:p w:rsidR="00080CC1" w:rsidRPr="00DE1B77" w:rsidRDefault="006111A0" w:rsidP="00055608">
    <w:pPr>
      <w:ind w:left="-360" w:right="-262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A0" w:rsidRDefault="006111A0" w:rsidP="00430EAF">
      <w:r>
        <w:separator/>
      </w:r>
    </w:p>
  </w:footnote>
  <w:footnote w:type="continuationSeparator" w:id="0">
    <w:p w:rsidR="006111A0" w:rsidRDefault="006111A0" w:rsidP="0043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2430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153C" w:rsidRDefault="002C02E3">
        <w:pPr>
          <w:pStyle w:val="Header"/>
          <w:jc w:val="center"/>
        </w:pPr>
        <w:r>
          <w:fldChar w:fldCharType="begin"/>
        </w:r>
        <w:r w:rsidR="00F5153C">
          <w:instrText xml:space="preserve"> PAGE   \* MERGEFORMAT </w:instrText>
        </w:r>
        <w:r>
          <w:fldChar w:fldCharType="separate"/>
        </w:r>
        <w:r w:rsidR="008E3E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CC1" w:rsidRDefault="006111A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3C" w:rsidRDefault="00F5153C">
    <w:pPr>
      <w:pStyle w:val="Header"/>
      <w:jc w:val="center"/>
    </w:pPr>
  </w:p>
  <w:p w:rsidR="00272E94" w:rsidRDefault="00272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2B7"/>
    <w:multiLevelType w:val="hybridMultilevel"/>
    <w:tmpl w:val="E65633B6"/>
    <w:lvl w:ilvl="0" w:tplc="1F8CC94C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A4"/>
    <w:rsid w:val="00027081"/>
    <w:rsid w:val="00032765"/>
    <w:rsid w:val="0003564B"/>
    <w:rsid w:val="0004467C"/>
    <w:rsid w:val="00076135"/>
    <w:rsid w:val="0008219F"/>
    <w:rsid w:val="00085210"/>
    <w:rsid w:val="00094EF2"/>
    <w:rsid w:val="00097EF9"/>
    <w:rsid w:val="000A1052"/>
    <w:rsid w:val="000A280B"/>
    <w:rsid w:val="000B64E1"/>
    <w:rsid w:val="000C3FC5"/>
    <w:rsid w:val="000C7D47"/>
    <w:rsid w:val="000E7B76"/>
    <w:rsid w:val="000F317A"/>
    <w:rsid w:val="001011EF"/>
    <w:rsid w:val="00111548"/>
    <w:rsid w:val="00124FA2"/>
    <w:rsid w:val="00132864"/>
    <w:rsid w:val="00132EC9"/>
    <w:rsid w:val="00134261"/>
    <w:rsid w:val="0013707F"/>
    <w:rsid w:val="0013791C"/>
    <w:rsid w:val="001621FF"/>
    <w:rsid w:val="0017315A"/>
    <w:rsid w:val="0018084F"/>
    <w:rsid w:val="00185D41"/>
    <w:rsid w:val="00186971"/>
    <w:rsid w:val="00191548"/>
    <w:rsid w:val="00196F1A"/>
    <w:rsid w:val="001A642A"/>
    <w:rsid w:val="001B03B8"/>
    <w:rsid w:val="001B3F44"/>
    <w:rsid w:val="001B586E"/>
    <w:rsid w:val="001B7117"/>
    <w:rsid w:val="001C6778"/>
    <w:rsid w:val="00200223"/>
    <w:rsid w:val="002015BB"/>
    <w:rsid w:val="00231860"/>
    <w:rsid w:val="00244A7D"/>
    <w:rsid w:val="00246212"/>
    <w:rsid w:val="00257BA6"/>
    <w:rsid w:val="00272E94"/>
    <w:rsid w:val="00274DE8"/>
    <w:rsid w:val="002754FC"/>
    <w:rsid w:val="00280916"/>
    <w:rsid w:val="00287162"/>
    <w:rsid w:val="0029335B"/>
    <w:rsid w:val="00294C9F"/>
    <w:rsid w:val="002A0CB8"/>
    <w:rsid w:val="002A6645"/>
    <w:rsid w:val="002C02E3"/>
    <w:rsid w:val="002C0E3C"/>
    <w:rsid w:val="002C4270"/>
    <w:rsid w:val="002C523D"/>
    <w:rsid w:val="002D17A6"/>
    <w:rsid w:val="002E5D00"/>
    <w:rsid w:val="002F4CBB"/>
    <w:rsid w:val="003058CE"/>
    <w:rsid w:val="00310440"/>
    <w:rsid w:val="003115AE"/>
    <w:rsid w:val="003148ED"/>
    <w:rsid w:val="00322B63"/>
    <w:rsid w:val="0035042C"/>
    <w:rsid w:val="00370FD9"/>
    <w:rsid w:val="00377F78"/>
    <w:rsid w:val="00380FCB"/>
    <w:rsid w:val="00381B20"/>
    <w:rsid w:val="00385BD3"/>
    <w:rsid w:val="00396D8E"/>
    <w:rsid w:val="003A3332"/>
    <w:rsid w:val="003A7D59"/>
    <w:rsid w:val="003B5C89"/>
    <w:rsid w:val="003C2F1B"/>
    <w:rsid w:val="003C7FEB"/>
    <w:rsid w:val="003D6147"/>
    <w:rsid w:val="003E483B"/>
    <w:rsid w:val="003F015F"/>
    <w:rsid w:val="003F4A76"/>
    <w:rsid w:val="004047AB"/>
    <w:rsid w:val="004106D9"/>
    <w:rsid w:val="00423D52"/>
    <w:rsid w:val="00430EAF"/>
    <w:rsid w:val="004425E1"/>
    <w:rsid w:val="00450855"/>
    <w:rsid w:val="004530AE"/>
    <w:rsid w:val="004549EA"/>
    <w:rsid w:val="00455DFB"/>
    <w:rsid w:val="00456420"/>
    <w:rsid w:val="00482B98"/>
    <w:rsid w:val="00485E62"/>
    <w:rsid w:val="0049470F"/>
    <w:rsid w:val="00494F96"/>
    <w:rsid w:val="004A4BB0"/>
    <w:rsid w:val="004C7F63"/>
    <w:rsid w:val="004D704A"/>
    <w:rsid w:val="004E1AC9"/>
    <w:rsid w:val="004E434B"/>
    <w:rsid w:val="004F0EE6"/>
    <w:rsid w:val="0051575F"/>
    <w:rsid w:val="00516E06"/>
    <w:rsid w:val="00527518"/>
    <w:rsid w:val="00527574"/>
    <w:rsid w:val="0053194C"/>
    <w:rsid w:val="00537A08"/>
    <w:rsid w:val="0054025A"/>
    <w:rsid w:val="00543957"/>
    <w:rsid w:val="005610EB"/>
    <w:rsid w:val="00580769"/>
    <w:rsid w:val="00587D65"/>
    <w:rsid w:val="00591573"/>
    <w:rsid w:val="00591A56"/>
    <w:rsid w:val="005925D4"/>
    <w:rsid w:val="00593B14"/>
    <w:rsid w:val="005A3FF4"/>
    <w:rsid w:val="005A4740"/>
    <w:rsid w:val="005B1C02"/>
    <w:rsid w:val="005B25AE"/>
    <w:rsid w:val="005B5C38"/>
    <w:rsid w:val="005C69C2"/>
    <w:rsid w:val="005E094F"/>
    <w:rsid w:val="005E2C35"/>
    <w:rsid w:val="005E3E4C"/>
    <w:rsid w:val="005E7C9C"/>
    <w:rsid w:val="005F1345"/>
    <w:rsid w:val="00605923"/>
    <w:rsid w:val="006111A0"/>
    <w:rsid w:val="00613210"/>
    <w:rsid w:val="00621340"/>
    <w:rsid w:val="0062716B"/>
    <w:rsid w:val="006373EC"/>
    <w:rsid w:val="00637E18"/>
    <w:rsid w:val="00642577"/>
    <w:rsid w:val="00645498"/>
    <w:rsid w:val="0064787A"/>
    <w:rsid w:val="006639F4"/>
    <w:rsid w:val="0066456F"/>
    <w:rsid w:val="00670112"/>
    <w:rsid w:val="00673B12"/>
    <w:rsid w:val="006765B9"/>
    <w:rsid w:val="00683EA6"/>
    <w:rsid w:val="00684551"/>
    <w:rsid w:val="006A4D9C"/>
    <w:rsid w:val="006A6388"/>
    <w:rsid w:val="006B18B4"/>
    <w:rsid w:val="006B4969"/>
    <w:rsid w:val="006B68BA"/>
    <w:rsid w:val="006C2CA0"/>
    <w:rsid w:val="006C2CB6"/>
    <w:rsid w:val="006C2FB4"/>
    <w:rsid w:val="006D6F00"/>
    <w:rsid w:val="006D7CE9"/>
    <w:rsid w:val="006E5ADB"/>
    <w:rsid w:val="006F13D0"/>
    <w:rsid w:val="0070089F"/>
    <w:rsid w:val="007017E5"/>
    <w:rsid w:val="0071753A"/>
    <w:rsid w:val="007324F1"/>
    <w:rsid w:val="0073297C"/>
    <w:rsid w:val="007427CA"/>
    <w:rsid w:val="00746F99"/>
    <w:rsid w:val="007670F5"/>
    <w:rsid w:val="00772CAD"/>
    <w:rsid w:val="007878E2"/>
    <w:rsid w:val="00791AC3"/>
    <w:rsid w:val="007A1021"/>
    <w:rsid w:val="007A3A37"/>
    <w:rsid w:val="007B38DF"/>
    <w:rsid w:val="007B69E6"/>
    <w:rsid w:val="007B73D7"/>
    <w:rsid w:val="007B7545"/>
    <w:rsid w:val="007C4BC2"/>
    <w:rsid w:val="007D22E0"/>
    <w:rsid w:val="007E10F1"/>
    <w:rsid w:val="007E194F"/>
    <w:rsid w:val="007E4482"/>
    <w:rsid w:val="007F298D"/>
    <w:rsid w:val="007F6B47"/>
    <w:rsid w:val="00803EB9"/>
    <w:rsid w:val="0081773B"/>
    <w:rsid w:val="00824AC9"/>
    <w:rsid w:val="008253C8"/>
    <w:rsid w:val="00825A48"/>
    <w:rsid w:val="00831BD8"/>
    <w:rsid w:val="0083216A"/>
    <w:rsid w:val="00832A6C"/>
    <w:rsid w:val="00835D9C"/>
    <w:rsid w:val="00837F1A"/>
    <w:rsid w:val="008629DF"/>
    <w:rsid w:val="0086432D"/>
    <w:rsid w:val="00872899"/>
    <w:rsid w:val="00872C9B"/>
    <w:rsid w:val="00882533"/>
    <w:rsid w:val="00882690"/>
    <w:rsid w:val="0088390A"/>
    <w:rsid w:val="00884967"/>
    <w:rsid w:val="00894BAF"/>
    <w:rsid w:val="008A1D43"/>
    <w:rsid w:val="008A3321"/>
    <w:rsid w:val="008A54FA"/>
    <w:rsid w:val="008C4E74"/>
    <w:rsid w:val="008D1AAE"/>
    <w:rsid w:val="008E3EBC"/>
    <w:rsid w:val="008F046B"/>
    <w:rsid w:val="008F2415"/>
    <w:rsid w:val="008F34D3"/>
    <w:rsid w:val="009000EA"/>
    <w:rsid w:val="009130FF"/>
    <w:rsid w:val="009200B4"/>
    <w:rsid w:val="009251F3"/>
    <w:rsid w:val="0093200A"/>
    <w:rsid w:val="0093778B"/>
    <w:rsid w:val="00940A33"/>
    <w:rsid w:val="00941FBA"/>
    <w:rsid w:val="009425B4"/>
    <w:rsid w:val="009432B7"/>
    <w:rsid w:val="0095477A"/>
    <w:rsid w:val="00964F22"/>
    <w:rsid w:val="00967EAC"/>
    <w:rsid w:val="00973441"/>
    <w:rsid w:val="00975A9F"/>
    <w:rsid w:val="0097607F"/>
    <w:rsid w:val="009855E8"/>
    <w:rsid w:val="0099609B"/>
    <w:rsid w:val="009A0F3D"/>
    <w:rsid w:val="009A7277"/>
    <w:rsid w:val="009C149B"/>
    <w:rsid w:val="009C3A0C"/>
    <w:rsid w:val="009C3A43"/>
    <w:rsid w:val="009C794E"/>
    <w:rsid w:val="009C7FD2"/>
    <w:rsid w:val="009E0809"/>
    <w:rsid w:val="009E1C1C"/>
    <w:rsid w:val="009E54AB"/>
    <w:rsid w:val="009E5B9E"/>
    <w:rsid w:val="009F1E87"/>
    <w:rsid w:val="00A02C42"/>
    <w:rsid w:val="00A100A4"/>
    <w:rsid w:val="00A11098"/>
    <w:rsid w:val="00A17B82"/>
    <w:rsid w:val="00A23BA4"/>
    <w:rsid w:val="00A3362A"/>
    <w:rsid w:val="00A350BA"/>
    <w:rsid w:val="00A35172"/>
    <w:rsid w:val="00A42DF3"/>
    <w:rsid w:val="00A4476A"/>
    <w:rsid w:val="00A449C2"/>
    <w:rsid w:val="00A45FED"/>
    <w:rsid w:val="00A50008"/>
    <w:rsid w:val="00A55D32"/>
    <w:rsid w:val="00A65803"/>
    <w:rsid w:val="00A845A1"/>
    <w:rsid w:val="00A85DD1"/>
    <w:rsid w:val="00A86CFC"/>
    <w:rsid w:val="00AA437E"/>
    <w:rsid w:val="00AC3BB5"/>
    <w:rsid w:val="00AC71BD"/>
    <w:rsid w:val="00AD2912"/>
    <w:rsid w:val="00AD4710"/>
    <w:rsid w:val="00AD4A23"/>
    <w:rsid w:val="00AE553F"/>
    <w:rsid w:val="00AF3057"/>
    <w:rsid w:val="00AF3682"/>
    <w:rsid w:val="00B07B2D"/>
    <w:rsid w:val="00B105A1"/>
    <w:rsid w:val="00B141E6"/>
    <w:rsid w:val="00B244C3"/>
    <w:rsid w:val="00B24E3C"/>
    <w:rsid w:val="00B303EF"/>
    <w:rsid w:val="00B36F60"/>
    <w:rsid w:val="00B44AB3"/>
    <w:rsid w:val="00B5493C"/>
    <w:rsid w:val="00B61D2D"/>
    <w:rsid w:val="00B6530F"/>
    <w:rsid w:val="00B71CF3"/>
    <w:rsid w:val="00B81EC1"/>
    <w:rsid w:val="00B82A41"/>
    <w:rsid w:val="00B8488C"/>
    <w:rsid w:val="00B934F5"/>
    <w:rsid w:val="00BA07D3"/>
    <w:rsid w:val="00BB07D9"/>
    <w:rsid w:val="00BB6DCC"/>
    <w:rsid w:val="00BE45C4"/>
    <w:rsid w:val="00BE4D3E"/>
    <w:rsid w:val="00BF0419"/>
    <w:rsid w:val="00C00BE3"/>
    <w:rsid w:val="00C1030B"/>
    <w:rsid w:val="00C15B06"/>
    <w:rsid w:val="00C20C92"/>
    <w:rsid w:val="00C21F7C"/>
    <w:rsid w:val="00C26B2D"/>
    <w:rsid w:val="00C33F13"/>
    <w:rsid w:val="00C37EA4"/>
    <w:rsid w:val="00C46820"/>
    <w:rsid w:val="00C47B6C"/>
    <w:rsid w:val="00C5780A"/>
    <w:rsid w:val="00C623F5"/>
    <w:rsid w:val="00C701C4"/>
    <w:rsid w:val="00CA532D"/>
    <w:rsid w:val="00CB7569"/>
    <w:rsid w:val="00CB7706"/>
    <w:rsid w:val="00CC0165"/>
    <w:rsid w:val="00CC300B"/>
    <w:rsid w:val="00CC7B69"/>
    <w:rsid w:val="00CD0698"/>
    <w:rsid w:val="00CD507C"/>
    <w:rsid w:val="00CE30BE"/>
    <w:rsid w:val="00CF0AC3"/>
    <w:rsid w:val="00CF66CB"/>
    <w:rsid w:val="00CF68FC"/>
    <w:rsid w:val="00D05492"/>
    <w:rsid w:val="00D117BC"/>
    <w:rsid w:val="00D14AE3"/>
    <w:rsid w:val="00D249A0"/>
    <w:rsid w:val="00D26F4D"/>
    <w:rsid w:val="00D378DE"/>
    <w:rsid w:val="00D65606"/>
    <w:rsid w:val="00D77834"/>
    <w:rsid w:val="00D77944"/>
    <w:rsid w:val="00D84D28"/>
    <w:rsid w:val="00D85A08"/>
    <w:rsid w:val="00DB11A8"/>
    <w:rsid w:val="00DD6A1F"/>
    <w:rsid w:val="00DE02AD"/>
    <w:rsid w:val="00DF263C"/>
    <w:rsid w:val="00DF3EE4"/>
    <w:rsid w:val="00DF62BA"/>
    <w:rsid w:val="00E00B95"/>
    <w:rsid w:val="00E017CE"/>
    <w:rsid w:val="00E43FBF"/>
    <w:rsid w:val="00E444D5"/>
    <w:rsid w:val="00E4714D"/>
    <w:rsid w:val="00E51E5F"/>
    <w:rsid w:val="00E547B2"/>
    <w:rsid w:val="00E672D1"/>
    <w:rsid w:val="00E67E1F"/>
    <w:rsid w:val="00E75859"/>
    <w:rsid w:val="00E953A9"/>
    <w:rsid w:val="00E95E3A"/>
    <w:rsid w:val="00E970D2"/>
    <w:rsid w:val="00EA2AB6"/>
    <w:rsid w:val="00EA6454"/>
    <w:rsid w:val="00EC7567"/>
    <w:rsid w:val="00EE275C"/>
    <w:rsid w:val="00F22F92"/>
    <w:rsid w:val="00F270B3"/>
    <w:rsid w:val="00F27547"/>
    <w:rsid w:val="00F30649"/>
    <w:rsid w:val="00F3259D"/>
    <w:rsid w:val="00F41567"/>
    <w:rsid w:val="00F427AE"/>
    <w:rsid w:val="00F475ED"/>
    <w:rsid w:val="00F5036E"/>
    <w:rsid w:val="00F5153C"/>
    <w:rsid w:val="00F5381A"/>
    <w:rsid w:val="00F53AA3"/>
    <w:rsid w:val="00F55E9B"/>
    <w:rsid w:val="00F5610D"/>
    <w:rsid w:val="00F740CE"/>
    <w:rsid w:val="00F74122"/>
    <w:rsid w:val="00F770DE"/>
    <w:rsid w:val="00F92F8F"/>
    <w:rsid w:val="00F954ED"/>
    <w:rsid w:val="00FA0C7E"/>
    <w:rsid w:val="00FA2F5C"/>
    <w:rsid w:val="00FA7940"/>
    <w:rsid w:val="00FB6196"/>
    <w:rsid w:val="00FB774F"/>
    <w:rsid w:val="00FC2284"/>
    <w:rsid w:val="00FC60FA"/>
    <w:rsid w:val="00FD1508"/>
    <w:rsid w:val="00FE4BB1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1731F35B-6611-44D3-A8FF-3CE5C8E6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  <w:style w:type="paragraph" w:customStyle="1" w:styleId="Rakstz3">
    <w:name w:val="Rakstz."/>
    <w:basedOn w:val="Normal"/>
    <w:rsid w:val="00613210"/>
    <w:pPr>
      <w:spacing w:before="40"/>
    </w:pPr>
    <w:rPr>
      <w:rFonts w:eastAsia="Times New Roman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EA2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2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a.ane@viaa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2867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Company>Izglītības un zinātnes ministrija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„Par Ministru kabineta balvas piešķiršanu par sasniegumiem starptautiskajās mācību priekšmetu olimpiādēs”</dc:subject>
  <dc:creator>Agnese Mīļā</dc:creator>
  <cp:lastModifiedBy>Laimdota Adlere</cp:lastModifiedBy>
  <cp:revision>4</cp:revision>
  <cp:lastPrinted>2018-11-05T09:40:00Z</cp:lastPrinted>
  <dcterms:created xsi:type="dcterms:W3CDTF">2018-12-06T09:32:00Z</dcterms:created>
  <dcterms:modified xsi:type="dcterms:W3CDTF">2018-12-06T09:45:00Z</dcterms:modified>
</cp:coreProperties>
</file>